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F23" w:rsidRPr="005A5F23" w:rsidRDefault="005A5F23" w:rsidP="005A5F23">
      <w:pPr>
        <w:jc w:val="center"/>
        <w:rPr>
          <w:b/>
        </w:rPr>
      </w:pPr>
      <w:r w:rsidRPr="005A5F23">
        <w:rPr>
          <w:b/>
        </w:rPr>
        <w:t>Finding</w:t>
      </w:r>
      <w:r w:rsidR="00802341">
        <w:rPr>
          <w:b/>
        </w:rPr>
        <w:t xml:space="preserve"> Routine and</w:t>
      </w:r>
      <w:r w:rsidRPr="005A5F23">
        <w:rPr>
          <w:b/>
        </w:rPr>
        <w:t xml:space="preserve"> Non</w:t>
      </w:r>
      <w:r w:rsidR="00D452B7">
        <w:rPr>
          <w:b/>
        </w:rPr>
        <w:t>-</w:t>
      </w:r>
      <w:r w:rsidRPr="005A5F23">
        <w:rPr>
          <w:b/>
        </w:rPr>
        <w:t>routine Areas</w:t>
      </w:r>
      <w:r>
        <w:rPr>
          <w:b/>
        </w:rPr>
        <w:t xml:space="preserve"> Tasks</w:t>
      </w:r>
      <w:bookmarkStart w:id="0" w:name="_GoBack"/>
      <w:bookmarkEnd w:id="0"/>
    </w:p>
    <w:p w:rsidR="005A5F23" w:rsidRDefault="00EA34B3">
      <w:r>
        <w:rPr>
          <w:noProof/>
        </w:rPr>
        <w:drawing>
          <wp:anchor distT="0" distB="0" distL="114300" distR="114300" simplePos="0" relativeHeight="251658240" behindDoc="1" locked="0" layoutInCell="1" allowOverlap="1" wp14:anchorId="7FE56DF0" wp14:editId="1FB79BA2">
            <wp:simplePos x="0" y="0"/>
            <wp:positionH relativeFrom="margin">
              <wp:posOffset>-47625</wp:posOffset>
            </wp:positionH>
            <wp:positionV relativeFrom="margin">
              <wp:posOffset>400050</wp:posOffset>
            </wp:positionV>
            <wp:extent cx="5950585" cy="23406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EA34B3" w:rsidRDefault="00EA34B3"/>
    <w:p w:rsidR="00EA34B3" w:rsidRDefault="00EA34B3"/>
    <w:p w:rsidR="00EA34B3" w:rsidRDefault="00EA34B3"/>
    <w:p w:rsidR="005A5F23" w:rsidRDefault="00EA34B3">
      <w:r>
        <w:rPr>
          <w:noProof/>
        </w:rPr>
        <w:drawing>
          <wp:inline distT="0" distB="0" distL="0" distR="0">
            <wp:extent cx="5943600" cy="365620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23" w:rsidRDefault="005A5F23"/>
    <w:p w:rsidR="005A5F23" w:rsidRDefault="00EA34B3">
      <w:r>
        <w:rPr>
          <w:noProof/>
        </w:rPr>
        <w:lastRenderedPageBreak/>
        <w:drawing>
          <wp:inline distT="0" distB="0" distL="0" distR="0">
            <wp:extent cx="5943600" cy="385984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23" w:rsidRDefault="005A5F23"/>
    <w:p w:rsidR="00E341C2" w:rsidRDefault="00E341C2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>
      <w:r>
        <w:t>[Source: Beckmann, S. (201</w:t>
      </w:r>
      <w:r w:rsidR="00BB3441">
        <w:t>4</w:t>
      </w:r>
      <w:r>
        <w:t xml:space="preserve">). </w:t>
      </w:r>
      <w:r w:rsidRPr="005A5F23">
        <w:rPr>
          <w:i/>
        </w:rPr>
        <w:t>Mathematics for elementary teaching with activity manual</w:t>
      </w:r>
      <w:r>
        <w:t xml:space="preserve"> (</w:t>
      </w:r>
      <w:r w:rsidR="00BB3441">
        <w:t>4</w:t>
      </w:r>
      <w:r w:rsidR="00BB3441" w:rsidRPr="00BB3441">
        <w:rPr>
          <w:vertAlign w:val="superscript"/>
        </w:rPr>
        <w:t>th</w:t>
      </w:r>
      <w:r w:rsidR="00BB3441">
        <w:t xml:space="preserve"> </w:t>
      </w:r>
      <w:proofErr w:type="gramStart"/>
      <w:r>
        <w:t>ed</w:t>
      </w:r>
      <w:proofErr w:type="gramEnd"/>
      <w:r>
        <w:t xml:space="preserve">.). Boston, MA: </w:t>
      </w:r>
      <w:r w:rsidR="00BB3441">
        <w:t>Pearson, pp. 521-522</w:t>
      </w:r>
      <w:r>
        <w:t>]</w:t>
      </w:r>
    </w:p>
    <w:p w:rsidR="005A5F23" w:rsidRDefault="005A5F23"/>
    <w:p w:rsidR="005A5F23" w:rsidRDefault="005A5F23"/>
    <w:p w:rsidR="005A5F23" w:rsidRDefault="005A5F23"/>
    <w:p w:rsidR="005A5F23" w:rsidRDefault="005A5F23">
      <w:r>
        <w:lastRenderedPageBreak/>
        <w:t>Solutions:</w:t>
      </w:r>
    </w:p>
    <w:p w:rsidR="00EA34B3" w:rsidRDefault="00EA34B3">
      <w:r>
        <w:rPr>
          <w:noProof/>
        </w:rPr>
        <w:drawing>
          <wp:inline distT="0" distB="0" distL="0" distR="0" wp14:anchorId="144C1D74" wp14:editId="4712AC41">
            <wp:extent cx="5943600" cy="7698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B3" w:rsidRDefault="00EA34B3">
      <w:r>
        <w:rPr>
          <w:noProof/>
        </w:rPr>
        <w:drawing>
          <wp:inline distT="0" distB="0" distL="0" distR="0" wp14:anchorId="7C7D1860" wp14:editId="661D2737">
            <wp:extent cx="5408839" cy="75723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39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23" w:rsidRDefault="00EA34B3">
      <w:r w:rsidRPr="00802341">
        <w:rPr>
          <w:rFonts w:ascii="Times New Roman" w:hAnsi="Times New Roman" w:cs="Times New Roman"/>
          <w:sz w:val="20"/>
        </w:rPr>
        <w:t xml:space="preserve">The areas of the remaining shaded shapes can be found by subdividing them into rectangles and triangles </w:t>
      </w:r>
      <w:r w:rsidR="00802341" w:rsidRPr="00802341">
        <w:rPr>
          <w:rFonts w:ascii="Times New Roman" w:hAnsi="Times New Roman" w:cs="Times New Roman"/>
          <w:sz w:val="20"/>
        </w:rPr>
        <w:t>as shown in Figure 12.29. Shape C has area 5 ½ square units [1 + 3 + 1 ½]; Shape D has area 10 ½ square units [1 + 8 + 1 + ½]; and Shape E has area 10 square units [4 + 2 + 1 + 1 + 1 + ½ + ½].</w:t>
      </w:r>
    </w:p>
    <w:sectPr w:rsidR="005A5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23"/>
    <w:rsid w:val="005A5F23"/>
    <w:rsid w:val="00802341"/>
    <w:rsid w:val="009714EA"/>
    <w:rsid w:val="00BB3441"/>
    <w:rsid w:val="00D452B7"/>
    <w:rsid w:val="00E341C2"/>
    <w:rsid w:val="00EA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F0857-CC67-454A-9349-2EDD5592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</Words>
  <Characters>440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Gordon State College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Clement, Geoff</dc:creator>
  <cp:lastModifiedBy>Geoff Clement</cp:lastModifiedBy>
  <cp:revision>2</cp:revision>
  <dcterms:created xsi:type="dcterms:W3CDTF">2016-03-14T21:24:00Z</dcterms:created>
  <dcterms:modified xsi:type="dcterms:W3CDTF">2016-03-14T21:24:00Z</dcterms:modified>
</cp:coreProperties>
</file>