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D5D" w:rsidRPr="00972D5D" w:rsidRDefault="00972D5D" w:rsidP="00972D5D">
      <w:pPr>
        <w:jc w:val="center"/>
        <w:rPr>
          <w:b/>
          <w:sz w:val="28"/>
          <w:szCs w:val="28"/>
          <w:u w:val="single"/>
        </w:rPr>
      </w:pPr>
      <w:r w:rsidRPr="00972D5D">
        <w:rPr>
          <w:b/>
          <w:sz w:val="28"/>
          <w:szCs w:val="28"/>
          <w:u w:val="single"/>
        </w:rPr>
        <w:t>Online/Hybrid Course Checklist</w:t>
      </w:r>
    </w:p>
    <w:tbl>
      <w:tblPr>
        <w:tblStyle w:val="TableGrid"/>
        <w:tblW w:w="0" w:type="auto"/>
        <w:tblLook w:val="04A0" w:firstRow="1" w:lastRow="0" w:firstColumn="1" w:lastColumn="0" w:noHBand="0" w:noVBand="1"/>
      </w:tblPr>
      <w:tblGrid>
        <w:gridCol w:w="8095"/>
        <w:gridCol w:w="1255"/>
      </w:tblGrid>
      <w:tr w:rsidR="00242767" w:rsidTr="00242767">
        <w:tc>
          <w:tcPr>
            <w:tcW w:w="9350" w:type="dxa"/>
            <w:gridSpan w:val="2"/>
            <w:shd w:val="clear" w:color="auto" w:fill="D9E2F3" w:themeFill="accent5" w:themeFillTint="33"/>
          </w:tcPr>
          <w:p w:rsidR="00242767" w:rsidRPr="00242767" w:rsidRDefault="00242767">
            <w:pPr>
              <w:rPr>
                <w:b/>
              </w:rPr>
            </w:pPr>
            <w:r w:rsidRPr="00242767">
              <w:rPr>
                <w:b/>
              </w:rPr>
              <w:t>Non-D2L Tasks</w:t>
            </w:r>
          </w:p>
        </w:tc>
      </w:tr>
      <w:tr w:rsidR="00242767" w:rsidTr="00242767">
        <w:tc>
          <w:tcPr>
            <w:tcW w:w="8095" w:type="dxa"/>
          </w:tcPr>
          <w:p w:rsidR="00242767" w:rsidRDefault="008778D0">
            <w:hyperlink r:id="rId5" w:history="1">
              <w:r w:rsidR="00242767" w:rsidRPr="008778D0">
                <w:rPr>
                  <w:rStyle w:val="Hyperlink"/>
                </w:rPr>
                <w:t>-Reserved classrooms for any on-campus assessments</w:t>
              </w:r>
              <w:r w:rsidRPr="008778D0">
                <w:rPr>
                  <w:rStyle w:val="Hyperlink"/>
                </w:rPr>
                <w:t xml:space="preserve"> using R25</w:t>
              </w:r>
              <w:r w:rsidR="00242767" w:rsidRPr="008778D0">
                <w:rPr>
                  <w:rStyle w:val="Hyperlink"/>
                </w:rPr>
                <w:t>.</w:t>
              </w:r>
            </w:hyperlink>
            <w:r w:rsidR="00242767">
              <w:t xml:space="preserve"> </w:t>
            </w:r>
          </w:p>
        </w:tc>
        <w:tc>
          <w:tcPr>
            <w:tcW w:w="1255" w:type="dxa"/>
          </w:tcPr>
          <w:p w:rsidR="00242767" w:rsidRDefault="00242767"/>
        </w:tc>
      </w:tr>
      <w:tr w:rsidR="00242767" w:rsidTr="00242767">
        <w:tc>
          <w:tcPr>
            <w:tcW w:w="8095" w:type="dxa"/>
          </w:tcPr>
          <w:p w:rsidR="00242767" w:rsidRDefault="00242767" w:rsidP="008778D0">
            <w:r>
              <w:t>-</w:t>
            </w:r>
            <w:hyperlink r:id="rId6" w:history="1">
              <w:r w:rsidR="008778D0">
                <w:rPr>
                  <w:rStyle w:val="Hyperlink"/>
                </w:rPr>
                <w:t>Email your department’s</w:t>
              </w:r>
              <w:r w:rsidRPr="00242767">
                <w:rPr>
                  <w:rStyle w:val="Hyperlink"/>
                </w:rPr>
                <w:t xml:space="preserve"> academic aid with “blurb” information to be displayed on the webpage here under “Course Schedules” and “Online/Hybrid” courses.</w:t>
              </w:r>
            </w:hyperlink>
            <w:r w:rsidR="008778D0">
              <w:t xml:space="preserve"> </w:t>
            </w:r>
            <w:r>
              <w:t xml:space="preserve"> </w:t>
            </w:r>
            <w:r w:rsidR="008778D0">
              <w:t xml:space="preserve">This should include the dates, times, and locations of any on-campus meetings. </w:t>
            </w:r>
          </w:p>
        </w:tc>
        <w:tc>
          <w:tcPr>
            <w:tcW w:w="1255" w:type="dxa"/>
          </w:tcPr>
          <w:p w:rsidR="00242767" w:rsidRDefault="00242767"/>
        </w:tc>
      </w:tr>
      <w:tr w:rsidR="00242767" w:rsidTr="00242767">
        <w:tc>
          <w:tcPr>
            <w:tcW w:w="8095" w:type="dxa"/>
          </w:tcPr>
          <w:p w:rsidR="00242767" w:rsidRDefault="00242767">
            <w:r>
              <w:t>-</w:t>
            </w:r>
            <w:hyperlink r:id="rId7" w:history="1">
              <w:r w:rsidRPr="008778D0">
                <w:rPr>
                  <w:rStyle w:val="Hyperlink"/>
                </w:rPr>
                <w:t xml:space="preserve">Send a welcome email to the students (through </w:t>
              </w:r>
              <w:proofErr w:type="spellStart"/>
              <w:r w:rsidRPr="008778D0">
                <w:rPr>
                  <w:rStyle w:val="Hyperlink"/>
                </w:rPr>
                <w:t>classlist</w:t>
              </w:r>
              <w:proofErr w:type="spellEnd"/>
              <w:r w:rsidRPr="008778D0">
                <w:rPr>
                  <w:rStyle w:val="Hyperlink"/>
                </w:rPr>
                <w:t xml:space="preserve"> in </w:t>
              </w:r>
              <w:proofErr w:type="spellStart"/>
              <w:r w:rsidRPr="008778D0">
                <w:rPr>
                  <w:rStyle w:val="Hyperlink"/>
                </w:rPr>
                <w:t>Bannerweb</w:t>
              </w:r>
              <w:proofErr w:type="spellEnd"/>
              <w:r w:rsidRPr="008778D0">
                <w:rPr>
                  <w:rStyle w:val="Hyperlink"/>
                </w:rPr>
                <w:t>) announcing any on-campus assessments and/or mandatory live sessions.</w:t>
              </w:r>
            </w:hyperlink>
            <w:r>
              <w:t xml:space="preserve"> (Approximately 3 days before the beginning of the course). </w:t>
            </w:r>
          </w:p>
        </w:tc>
        <w:tc>
          <w:tcPr>
            <w:tcW w:w="1255" w:type="dxa"/>
          </w:tcPr>
          <w:p w:rsidR="00242767" w:rsidRDefault="00242767">
            <w:bookmarkStart w:id="0" w:name="_GoBack"/>
            <w:bookmarkEnd w:id="0"/>
          </w:p>
        </w:tc>
      </w:tr>
    </w:tbl>
    <w:p w:rsidR="001F57F0" w:rsidRDefault="001F57F0"/>
    <w:tbl>
      <w:tblPr>
        <w:tblStyle w:val="TableGrid"/>
        <w:tblW w:w="0" w:type="auto"/>
        <w:tblLook w:val="04A0" w:firstRow="1" w:lastRow="0" w:firstColumn="1" w:lastColumn="0" w:noHBand="0" w:noVBand="1"/>
      </w:tblPr>
      <w:tblGrid>
        <w:gridCol w:w="8095"/>
        <w:gridCol w:w="1255"/>
      </w:tblGrid>
      <w:tr w:rsidR="00242767" w:rsidTr="00242767">
        <w:tc>
          <w:tcPr>
            <w:tcW w:w="9350" w:type="dxa"/>
            <w:gridSpan w:val="2"/>
            <w:shd w:val="clear" w:color="auto" w:fill="D9E2F3" w:themeFill="accent5" w:themeFillTint="33"/>
          </w:tcPr>
          <w:p w:rsidR="00242767" w:rsidRPr="00242767" w:rsidRDefault="00242767" w:rsidP="00995BBD">
            <w:pPr>
              <w:rPr>
                <w:b/>
              </w:rPr>
            </w:pPr>
            <w:r w:rsidRPr="00242767">
              <w:rPr>
                <w:b/>
              </w:rPr>
              <w:t>Copying/Importing Content Tasks</w:t>
            </w:r>
          </w:p>
        </w:tc>
      </w:tr>
      <w:tr w:rsidR="00242767" w:rsidTr="00995BBD">
        <w:tc>
          <w:tcPr>
            <w:tcW w:w="8095" w:type="dxa"/>
          </w:tcPr>
          <w:p w:rsidR="00242767" w:rsidRDefault="00242767" w:rsidP="00995BBD">
            <w:r>
              <w:t>-</w:t>
            </w:r>
            <w:hyperlink r:id="rId8" w:history="1">
              <w:r w:rsidRPr="008778D0">
                <w:rPr>
                  <w:rStyle w:val="Hyperlink"/>
                </w:rPr>
                <w:t>Copy content from one course shell to another.</w:t>
              </w:r>
            </w:hyperlink>
            <w:r>
              <w:t xml:space="preserve"> (Advice: If you are copying 70% or more of a course, it is best to copy the entire course and then remove the items that you will not be using). </w:t>
            </w:r>
          </w:p>
        </w:tc>
        <w:tc>
          <w:tcPr>
            <w:tcW w:w="1255" w:type="dxa"/>
          </w:tcPr>
          <w:p w:rsidR="00242767" w:rsidRDefault="00242767" w:rsidP="00995BBD"/>
        </w:tc>
      </w:tr>
      <w:tr w:rsidR="00242767" w:rsidTr="00F0357C">
        <w:tc>
          <w:tcPr>
            <w:tcW w:w="8095" w:type="dxa"/>
            <w:shd w:val="clear" w:color="auto" w:fill="FFF2CC" w:themeFill="accent4" w:themeFillTint="33"/>
          </w:tcPr>
          <w:p w:rsidR="00242767" w:rsidRDefault="00242767" w:rsidP="00995BBD">
            <w:r>
              <w:t>-</w:t>
            </w:r>
            <w:hyperlink r:id="rId9" w:history="1">
              <w:r w:rsidRPr="00F0357C">
                <w:rPr>
                  <w:rStyle w:val="Hyperlink"/>
                </w:rPr>
                <w:t xml:space="preserve">If you are using a publisher’s </w:t>
              </w:r>
              <w:proofErr w:type="spellStart"/>
              <w:r w:rsidRPr="00F0357C">
                <w:rPr>
                  <w:rStyle w:val="Hyperlink"/>
                </w:rPr>
                <w:t>testbank</w:t>
              </w:r>
              <w:proofErr w:type="spellEnd"/>
              <w:r w:rsidRPr="00F0357C">
                <w:rPr>
                  <w:rStyle w:val="Hyperlink"/>
                </w:rPr>
                <w:t>, download the test bank from the publisher’s website and import it into D2L.</w:t>
              </w:r>
            </w:hyperlink>
            <w:r>
              <w:t xml:space="preserve"> You can then make quizzes from the question library. </w:t>
            </w:r>
          </w:p>
        </w:tc>
        <w:tc>
          <w:tcPr>
            <w:tcW w:w="1255" w:type="dxa"/>
            <w:shd w:val="clear" w:color="auto" w:fill="FFF2CC" w:themeFill="accent4" w:themeFillTint="33"/>
          </w:tcPr>
          <w:p w:rsidR="00242767" w:rsidRDefault="00242767" w:rsidP="00995BBD"/>
        </w:tc>
      </w:tr>
    </w:tbl>
    <w:p w:rsidR="00242767" w:rsidRDefault="00242767"/>
    <w:tbl>
      <w:tblPr>
        <w:tblStyle w:val="TableGrid"/>
        <w:tblW w:w="0" w:type="auto"/>
        <w:tblLook w:val="04A0" w:firstRow="1" w:lastRow="0" w:firstColumn="1" w:lastColumn="0" w:noHBand="0" w:noVBand="1"/>
      </w:tblPr>
      <w:tblGrid>
        <w:gridCol w:w="8095"/>
        <w:gridCol w:w="1255"/>
      </w:tblGrid>
      <w:tr w:rsidR="00242767" w:rsidRPr="00242767" w:rsidTr="00995BBD">
        <w:tc>
          <w:tcPr>
            <w:tcW w:w="9350" w:type="dxa"/>
            <w:gridSpan w:val="2"/>
            <w:shd w:val="clear" w:color="auto" w:fill="D9E2F3" w:themeFill="accent5" w:themeFillTint="33"/>
          </w:tcPr>
          <w:p w:rsidR="00242767" w:rsidRPr="00242767" w:rsidRDefault="00242767" w:rsidP="00995BBD">
            <w:pPr>
              <w:rPr>
                <w:b/>
              </w:rPr>
            </w:pPr>
            <w:r>
              <w:rPr>
                <w:b/>
              </w:rPr>
              <w:t>Building Content in D2L</w:t>
            </w:r>
          </w:p>
        </w:tc>
      </w:tr>
      <w:tr w:rsidR="00242767" w:rsidTr="00995BBD">
        <w:tc>
          <w:tcPr>
            <w:tcW w:w="8095" w:type="dxa"/>
          </w:tcPr>
          <w:p w:rsidR="00242767" w:rsidRDefault="00242767" w:rsidP="00242767">
            <w:r>
              <w:t>-</w:t>
            </w:r>
            <w:r>
              <w:t>Create a module for the syllabus. In the syllabus make sure the following are included:</w:t>
            </w:r>
          </w:p>
          <w:p w:rsidR="00242767" w:rsidRDefault="00242767" w:rsidP="00242767">
            <w:pPr>
              <w:pStyle w:val="ListParagraph"/>
              <w:numPr>
                <w:ilvl w:val="0"/>
                <w:numId w:val="1"/>
              </w:numPr>
            </w:pPr>
            <w:r>
              <w:t>Contact information/Office Hours</w:t>
            </w:r>
          </w:p>
          <w:p w:rsidR="008778D0" w:rsidRDefault="008778D0" w:rsidP="00242767">
            <w:pPr>
              <w:pStyle w:val="ListParagraph"/>
              <w:numPr>
                <w:ilvl w:val="0"/>
                <w:numId w:val="1"/>
              </w:numPr>
            </w:pPr>
            <w:r>
              <w:t>Course Objectives and Outcomes</w:t>
            </w:r>
          </w:p>
          <w:p w:rsidR="00242767" w:rsidRDefault="00242767" w:rsidP="00242767">
            <w:pPr>
              <w:pStyle w:val="ListParagraph"/>
              <w:numPr>
                <w:ilvl w:val="0"/>
                <w:numId w:val="1"/>
              </w:numPr>
            </w:pPr>
            <w:r>
              <w:t>Policies related to late work &amp; communication in online class</w:t>
            </w:r>
          </w:p>
          <w:p w:rsidR="00242767" w:rsidRDefault="00242767" w:rsidP="00242767">
            <w:pPr>
              <w:pStyle w:val="ListParagraph"/>
              <w:numPr>
                <w:ilvl w:val="0"/>
                <w:numId w:val="1"/>
              </w:numPr>
            </w:pPr>
            <w:r>
              <w:t>Any dates, times, locations of on-campus meetings</w:t>
            </w:r>
          </w:p>
          <w:p w:rsidR="008778D0" w:rsidRDefault="008778D0" w:rsidP="00242767">
            <w:pPr>
              <w:pStyle w:val="ListParagraph"/>
              <w:numPr>
                <w:ilvl w:val="0"/>
                <w:numId w:val="1"/>
              </w:numPr>
            </w:pPr>
            <w:r>
              <w:t>An outline of major assignments &amp; their due dates</w:t>
            </w:r>
          </w:p>
          <w:p w:rsidR="008778D0" w:rsidRDefault="008778D0" w:rsidP="00242767">
            <w:pPr>
              <w:pStyle w:val="ListParagraph"/>
              <w:numPr>
                <w:ilvl w:val="0"/>
                <w:numId w:val="1"/>
              </w:numPr>
            </w:pPr>
            <w:r>
              <w:t>Links to external resources (</w:t>
            </w:r>
            <w:proofErr w:type="spellStart"/>
            <w:r>
              <w:t>ie</w:t>
            </w:r>
            <w:proofErr w:type="spellEnd"/>
            <w:r>
              <w:t xml:space="preserve">: Textbook Resources, Turnitin, Remind, </w:t>
            </w:r>
            <w:proofErr w:type="spellStart"/>
            <w:r>
              <w:t>etc</w:t>
            </w:r>
            <w:proofErr w:type="spellEnd"/>
            <w:r>
              <w:t>)</w:t>
            </w:r>
          </w:p>
        </w:tc>
        <w:tc>
          <w:tcPr>
            <w:tcW w:w="1255" w:type="dxa"/>
          </w:tcPr>
          <w:p w:rsidR="00242767" w:rsidRDefault="00242767" w:rsidP="00995BBD"/>
        </w:tc>
      </w:tr>
      <w:tr w:rsidR="00242767" w:rsidTr="00995BBD">
        <w:tc>
          <w:tcPr>
            <w:tcW w:w="8095" w:type="dxa"/>
          </w:tcPr>
          <w:p w:rsidR="00242767" w:rsidRDefault="008778D0" w:rsidP="00995BBD">
            <w:r>
              <w:t>-Create a “Welcome to the Class” News item that appears on the course homepage. You may choose to provide instructions of how to access the syllabus, what email to use, as well as the on-campus meeting dates.</w:t>
            </w:r>
            <w:r w:rsidR="00242767">
              <w:t xml:space="preserve"> </w:t>
            </w:r>
          </w:p>
        </w:tc>
        <w:tc>
          <w:tcPr>
            <w:tcW w:w="1255" w:type="dxa"/>
          </w:tcPr>
          <w:p w:rsidR="00242767" w:rsidRDefault="00242767" w:rsidP="00995BBD"/>
        </w:tc>
      </w:tr>
      <w:tr w:rsidR="008778D0" w:rsidTr="00995BBD">
        <w:tc>
          <w:tcPr>
            <w:tcW w:w="8095" w:type="dxa"/>
          </w:tcPr>
          <w:p w:rsidR="008778D0" w:rsidRDefault="008778D0" w:rsidP="00995BBD">
            <w:r>
              <w:t>-</w:t>
            </w:r>
            <w:hyperlink r:id="rId10" w:history="1">
              <w:r w:rsidRPr="008778D0">
                <w:rPr>
                  <w:rStyle w:val="Hyperlink"/>
                </w:rPr>
                <w:t>Delete old news items (they will be copied over from the prior semester).</w:t>
              </w:r>
            </w:hyperlink>
            <w:r>
              <w:t xml:space="preserve"> </w:t>
            </w:r>
          </w:p>
        </w:tc>
        <w:tc>
          <w:tcPr>
            <w:tcW w:w="1255" w:type="dxa"/>
          </w:tcPr>
          <w:p w:rsidR="008778D0" w:rsidRDefault="008778D0" w:rsidP="00995BBD"/>
        </w:tc>
      </w:tr>
      <w:tr w:rsidR="008778D0" w:rsidTr="00995BBD">
        <w:tc>
          <w:tcPr>
            <w:tcW w:w="8095" w:type="dxa"/>
          </w:tcPr>
          <w:p w:rsidR="008778D0" w:rsidRDefault="008778D0" w:rsidP="00995BBD">
            <w:r>
              <w:t xml:space="preserve">-Go to “Content” on the </w:t>
            </w:r>
            <w:proofErr w:type="spellStart"/>
            <w:r>
              <w:t>navbar</w:t>
            </w:r>
            <w:proofErr w:type="spellEnd"/>
            <w:r>
              <w:t xml:space="preserve"> and select the different links in the modules to make sure all are organized and are opening correctly. </w:t>
            </w:r>
          </w:p>
        </w:tc>
        <w:tc>
          <w:tcPr>
            <w:tcW w:w="1255" w:type="dxa"/>
          </w:tcPr>
          <w:p w:rsidR="008778D0" w:rsidRDefault="008778D0" w:rsidP="00995BBD"/>
        </w:tc>
      </w:tr>
      <w:tr w:rsidR="008778D0" w:rsidTr="00995BBD">
        <w:tc>
          <w:tcPr>
            <w:tcW w:w="8095" w:type="dxa"/>
          </w:tcPr>
          <w:p w:rsidR="008778D0" w:rsidRDefault="008778D0" w:rsidP="00995BBD">
            <w:r>
              <w:t xml:space="preserve">-If you have placed date restrictions on modules, make sure to change those dates to the upcoming semester’s schedule (the old release dates will be copied over). </w:t>
            </w:r>
          </w:p>
          <w:p w:rsidR="00F0357C" w:rsidRDefault="00F0357C" w:rsidP="00995BBD"/>
          <w:p w:rsidR="00F0357C" w:rsidRDefault="00F0357C" w:rsidP="00995BBD">
            <w:r>
              <w:rPr>
                <w:noProof/>
              </w:rPr>
              <mc:AlternateContent>
                <mc:Choice Requires="wps">
                  <w:drawing>
                    <wp:anchor distT="0" distB="0" distL="114300" distR="114300" simplePos="0" relativeHeight="251659264" behindDoc="0" locked="0" layoutInCell="1" allowOverlap="1">
                      <wp:simplePos x="0" y="0"/>
                      <wp:positionH relativeFrom="column">
                        <wp:posOffset>1642745</wp:posOffset>
                      </wp:positionH>
                      <wp:positionV relativeFrom="paragraph">
                        <wp:posOffset>127000</wp:posOffset>
                      </wp:positionV>
                      <wp:extent cx="266700" cy="323850"/>
                      <wp:effectExtent l="19050" t="0" r="19050" b="38100"/>
                      <wp:wrapNone/>
                      <wp:docPr id="2" name="Down Arrow 2"/>
                      <wp:cNvGraphicFramePr/>
                      <a:graphic xmlns:a="http://schemas.openxmlformats.org/drawingml/2006/main">
                        <a:graphicData uri="http://schemas.microsoft.com/office/word/2010/wordprocessingShape">
                          <wps:wsp>
                            <wps:cNvSpPr/>
                            <wps:spPr>
                              <a:xfrm>
                                <a:off x="0" y="0"/>
                                <a:ext cx="266700" cy="323850"/>
                              </a:xfrm>
                              <a:prstGeom prst="downArrow">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287557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129.35pt;margin-top:10pt;width:21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" adj="12706" fillcolor="#ffc000" strokecolor="#1f4d78 [1604]" strokeweight="1pt"/>
                  </w:pict>
                </mc:Fallback>
              </mc:AlternateContent>
            </w:r>
            <w:r>
              <w:rPr>
                <w:noProof/>
              </w:rPr>
              <w:drawing>
                <wp:inline distT="0" distB="0" distL="0" distR="0">
                  <wp:extent cx="3333750" cy="7817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04ACFB.tmp"/>
                          <pic:cNvPicPr/>
                        </pic:nvPicPr>
                        <pic:blipFill>
                          <a:blip r:embed="rId11">
                            <a:extLst>
                              <a:ext uri="{28A0092B-C50C-407E-A947-70E740481C1C}">
                                <a14:useLocalDpi xmlns:a14="http://schemas.microsoft.com/office/drawing/2010/main" val="0"/>
                              </a:ext>
                            </a:extLst>
                          </a:blip>
                          <a:stretch>
                            <a:fillRect/>
                          </a:stretch>
                        </pic:blipFill>
                        <pic:spPr>
                          <a:xfrm>
                            <a:off x="0" y="0"/>
                            <a:ext cx="3518165" cy="825040"/>
                          </a:xfrm>
                          <a:prstGeom prst="rect">
                            <a:avLst/>
                          </a:prstGeom>
                        </pic:spPr>
                      </pic:pic>
                    </a:graphicData>
                  </a:graphic>
                </wp:inline>
              </w:drawing>
            </w:r>
          </w:p>
          <w:p w:rsidR="00F0357C" w:rsidRDefault="00F0357C" w:rsidP="00995BBD"/>
          <w:p w:rsidR="00F0357C" w:rsidRDefault="00F0357C" w:rsidP="00995BBD">
            <w:hyperlink r:id="rId12" w:history="1">
              <w:r w:rsidRPr="00F0357C">
                <w:rPr>
                  <w:rStyle w:val="Hyperlink"/>
                </w:rPr>
                <w:t>-You may choose to edit the restriction/due dates of assignments in bulk.</w:t>
              </w:r>
            </w:hyperlink>
            <w:r>
              <w:t xml:space="preserve"> </w:t>
            </w:r>
          </w:p>
          <w:p w:rsidR="00F0357C" w:rsidRDefault="00F0357C" w:rsidP="00995BBD"/>
        </w:tc>
        <w:tc>
          <w:tcPr>
            <w:tcW w:w="1255" w:type="dxa"/>
          </w:tcPr>
          <w:p w:rsidR="008778D0" w:rsidRDefault="008778D0" w:rsidP="00995BBD"/>
        </w:tc>
      </w:tr>
      <w:tr w:rsidR="00F0357C" w:rsidTr="00995BBD">
        <w:tc>
          <w:tcPr>
            <w:tcW w:w="8095" w:type="dxa"/>
          </w:tcPr>
          <w:p w:rsidR="00F0357C" w:rsidRDefault="00F0357C" w:rsidP="00995BBD">
            <w:r>
              <w:t xml:space="preserve">-If you edit the assignment due dates individually, navigate to the quizzes, </w:t>
            </w:r>
            <w:proofErr w:type="spellStart"/>
            <w:r>
              <w:t>dropboxes</w:t>
            </w:r>
            <w:proofErr w:type="spellEnd"/>
            <w:r>
              <w:t xml:space="preserve">, and discussion area. Edit each assignments and alter the due dates for the upcoming semester (the old due dates will have copied over). </w:t>
            </w:r>
          </w:p>
        </w:tc>
        <w:tc>
          <w:tcPr>
            <w:tcW w:w="1255" w:type="dxa"/>
          </w:tcPr>
          <w:p w:rsidR="00F0357C" w:rsidRDefault="00F0357C" w:rsidP="00995BBD"/>
        </w:tc>
      </w:tr>
      <w:tr w:rsidR="00B91C15" w:rsidTr="00995BBD">
        <w:tc>
          <w:tcPr>
            <w:tcW w:w="8095" w:type="dxa"/>
          </w:tcPr>
          <w:p w:rsidR="00B91C15" w:rsidRDefault="00B91C15" w:rsidP="00995BBD">
            <w:r>
              <w:lastRenderedPageBreak/>
              <w:t xml:space="preserve">-Make sure to link the activities (quizzes, </w:t>
            </w:r>
            <w:proofErr w:type="spellStart"/>
            <w:r>
              <w:t>dropboxes</w:t>
            </w:r>
            <w:proofErr w:type="spellEnd"/>
            <w:r>
              <w:t xml:space="preserve">, discussions, etc.) back to the content area (in the appropriate module). You can do this by choosing “Content” and “Add existing activities” and choosing the correct type of activity. This makes it easier for the students to locate the activity. </w:t>
            </w:r>
          </w:p>
          <w:p w:rsidR="00B91C15" w:rsidRDefault="00B91C15" w:rsidP="00995BBD">
            <w:r>
              <w:rPr>
                <w:noProof/>
              </w:rPr>
              <w:drawing>
                <wp:inline distT="0" distB="0" distL="0" distR="0">
                  <wp:extent cx="2933700" cy="109480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043457.tmp"/>
                          <pic:cNvPicPr/>
                        </pic:nvPicPr>
                        <pic:blipFill>
                          <a:blip r:embed="rId13">
                            <a:extLst>
                              <a:ext uri="{28A0092B-C50C-407E-A947-70E740481C1C}">
                                <a14:useLocalDpi xmlns:a14="http://schemas.microsoft.com/office/drawing/2010/main" val="0"/>
                              </a:ext>
                            </a:extLst>
                          </a:blip>
                          <a:stretch>
                            <a:fillRect/>
                          </a:stretch>
                        </pic:blipFill>
                        <pic:spPr>
                          <a:xfrm>
                            <a:off x="0" y="0"/>
                            <a:ext cx="2981762" cy="1112745"/>
                          </a:xfrm>
                          <a:prstGeom prst="rect">
                            <a:avLst/>
                          </a:prstGeom>
                        </pic:spPr>
                      </pic:pic>
                    </a:graphicData>
                  </a:graphic>
                </wp:inline>
              </w:drawing>
            </w:r>
          </w:p>
        </w:tc>
        <w:tc>
          <w:tcPr>
            <w:tcW w:w="1255" w:type="dxa"/>
          </w:tcPr>
          <w:p w:rsidR="00B91C15" w:rsidRDefault="00B91C15" w:rsidP="00995BBD"/>
        </w:tc>
      </w:tr>
      <w:tr w:rsidR="008778D0" w:rsidTr="00F0357C">
        <w:tc>
          <w:tcPr>
            <w:tcW w:w="8095" w:type="dxa"/>
            <w:shd w:val="clear" w:color="auto" w:fill="FFF2CC" w:themeFill="accent4" w:themeFillTint="33"/>
          </w:tcPr>
          <w:p w:rsidR="008778D0" w:rsidRDefault="008778D0" w:rsidP="00995BBD">
            <w:r>
              <w:t>-</w:t>
            </w:r>
            <w:hyperlink r:id="rId14" w:history="1">
              <w:r w:rsidRPr="008778D0">
                <w:rPr>
                  <w:rStyle w:val="Hyperlink"/>
                </w:rPr>
                <w:t>If you have students read certain articles from GALILEO, you may choose to make a reading list.</w:t>
              </w:r>
            </w:hyperlink>
            <w:r>
              <w:t xml:space="preserve"> </w:t>
            </w:r>
          </w:p>
        </w:tc>
        <w:tc>
          <w:tcPr>
            <w:tcW w:w="1255" w:type="dxa"/>
            <w:shd w:val="clear" w:color="auto" w:fill="FFF2CC" w:themeFill="accent4" w:themeFillTint="33"/>
          </w:tcPr>
          <w:p w:rsidR="008778D0" w:rsidRDefault="008778D0" w:rsidP="00995BBD"/>
        </w:tc>
      </w:tr>
    </w:tbl>
    <w:p w:rsidR="00242767" w:rsidRDefault="00242767"/>
    <w:tbl>
      <w:tblPr>
        <w:tblStyle w:val="TableGrid"/>
        <w:tblW w:w="0" w:type="auto"/>
        <w:tblLook w:val="04A0" w:firstRow="1" w:lastRow="0" w:firstColumn="1" w:lastColumn="0" w:noHBand="0" w:noVBand="1"/>
      </w:tblPr>
      <w:tblGrid>
        <w:gridCol w:w="8095"/>
        <w:gridCol w:w="1255"/>
      </w:tblGrid>
      <w:tr w:rsidR="008778D0" w:rsidRPr="00242767" w:rsidTr="00995BBD">
        <w:tc>
          <w:tcPr>
            <w:tcW w:w="9350" w:type="dxa"/>
            <w:gridSpan w:val="2"/>
            <w:shd w:val="clear" w:color="auto" w:fill="D9E2F3" w:themeFill="accent5" w:themeFillTint="33"/>
          </w:tcPr>
          <w:p w:rsidR="008778D0" w:rsidRPr="00242767" w:rsidRDefault="008778D0" w:rsidP="00995BBD">
            <w:pPr>
              <w:rPr>
                <w:b/>
              </w:rPr>
            </w:pPr>
            <w:r>
              <w:rPr>
                <w:b/>
              </w:rPr>
              <w:t>Setting up the Gradebook in D2L</w:t>
            </w:r>
          </w:p>
        </w:tc>
      </w:tr>
      <w:tr w:rsidR="008778D0" w:rsidTr="00995BBD">
        <w:tc>
          <w:tcPr>
            <w:tcW w:w="8095" w:type="dxa"/>
          </w:tcPr>
          <w:p w:rsidR="008778D0" w:rsidRDefault="00B91C15" w:rsidP="00F0357C">
            <w:r>
              <w:t>-</w:t>
            </w:r>
            <w:r w:rsidR="00F0357C">
              <w:t xml:space="preserve">Complete the “Setup Wizard” (from “Grades” on the </w:t>
            </w:r>
            <w:proofErr w:type="spellStart"/>
            <w:r w:rsidR="00F0357C">
              <w:t>navbar</w:t>
            </w:r>
            <w:proofErr w:type="spellEnd"/>
            <w:r w:rsidR="00F0357C">
              <w:t xml:space="preserve">) first. Make sure to choose “calculated final grade” (even if you plan to adjust it).  </w:t>
            </w:r>
          </w:p>
        </w:tc>
        <w:tc>
          <w:tcPr>
            <w:tcW w:w="1255" w:type="dxa"/>
          </w:tcPr>
          <w:p w:rsidR="008778D0" w:rsidRDefault="008778D0" w:rsidP="00995BBD"/>
        </w:tc>
      </w:tr>
      <w:tr w:rsidR="008778D0" w:rsidTr="00995BBD">
        <w:tc>
          <w:tcPr>
            <w:tcW w:w="8095" w:type="dxa"/>
          </w:tcPr>
          <w:p w:rsidR="008778D0" w:rsidRDefault="00B91C15" w:rsidP="00995BBD">
            <w:proofErr w:type="gramStart"/>
            <w:r>
              <w:t>-</w:t>
            </w:r>
            <w:r w:rsidR="006B350E">
              <w:t>(</w:t>
            </w:r>
            <w:proofErr w:type="gramEnd"/>
            <w:r w:rsidR="006B350E">
              <w:t xml:space="preserve">For a new weighted, gradebook), create categories (grey bars) first and then items (white bars). If you are using a </w:t>
            </w:r>
            <w:proofErr w:type="gramStart"/>
            <w:r w:rsidR="006B350E">
              <w:t>points</w:t>
            </w:r>
            <w:proofErr w:type="gramEnd"/>
            <w:r w:rsidR="006B350E">
              <w:t xml:space="preserve"> scale, only create grade items. </w:t>
            </w:r>
          </w:p>
        </w:tc>
        <w:tc>
          <w:tcPr>
            <w:tcW w:w="1255" w:type="dxa"/>
          </w:tcPr>
          <w:p w:rsidR="008778D0" w:rsidRDefault="008778D0" w:rsidP="00995BBD"/>
        </w:tc>
      </w:tr>
      <w:tr w:rsidR="006B350E" w:rsidTr="00995BBD">
        <w:tc>
          <w:tcPr>
            <w:tcW w:w="8095" w:type="dxa"/>
          </w:tcPr>
          <w:p w:rsidR="006B350E" w:rsidRDefault="00B91C15" w:rsidP="00995BBD">
            <w:r>
              <w:t>-</w:t>
            </w:r>
            <w:hyperlink r:id="rId15" w:history="1">
              <w:r w:rsidR="006B350E" w:rsidRPr="006B350E">
                <w:rPr>
                  <w:rStyle w:val="Hyperlink"/>
                </w:rPr>
                <w:t xml:space="preserve">You may choose to release the final grade calculation to the students (if you want them to see their average at any given time). </w:t>
              </w:r>
            </w:hyperlink>
            <w:r w:rsidR="006B350E">
              <w:t xml:space="preserve"> </w:t>
            </w:r>
          </w:p>
        </w:tc>
        <w:tc>
          <w:tcPr>
            <w:tcW w:w="1255" w:type="dxa"/>
          </w:tcPr>
          <w:p w:rsidR="006B350E" w:rsidRDefault="006B350E" w:rsidP="00995BBD"/>
        </w:tc>
      </w:tr>
      <w:tr w:rsidR="006B350E" w:rsidTr="00995BBD">
        <w:tc>
          <w:tcPr>
            <w:tcW w:w="8095" w:type="dxa"/>
          </w:tcPr>
          <w:p w:rsidR="006B350E" w:rsidRDefault="00B91C15" w:rsidP="00995BBD">
            <w:r>
              <w:t>-</w:t>
            </w:r>
            <w:r w:rsidR="006B350E">
              <w:t xml:space="preserve">Make sure that your grade items are linked to the appropriate assignments (quizzes, </w:t>
            </w:r>
            <w:proofErr w:type="spellStart"/>
            <w:r w:rsidR="006B350E">
              <w:t>dropboxes</w:t>
            </w:r>
            <w:proofErr w:type="spellEnd"/>
            <w:r w:rsidR="006B350E">
              <w:t xml:space="preserve">, </w:t>
            </w:r>
            <w:proofErr w:type="gramStart"/>
            <w:r w:rsidR="006B350E">
              <w:t>discussions</w:t>
            </w:r>
            <w:proofErr w:type="gramEnd"/>
            <w:r w:rsidR="006B350E">
              <w:t xml:space="preserve">). You can see this in the “manage grades” area by hovering over the “association” icon. (If they are not associated, go to the respective activity (quiz, discussion, etc.) and edit it. In the “assessment” tab, choose the grade item that it should be associated with). </w:t>
            </w:r>
          </w:p>
          <w:p w:rsidR="006B350E" w:rsidRDefault="006B350E" w:rsidP="00995BBD"/>
          <w:p w:rsidR="006B350E" w:rsidRDefault="006B350E" w:rsidP="00995BBD">
            <w:r>
              <w:rPr>
                <w:noProof/>
              </w:rPr>
              <mc:AlternateContent>
                <mc:Choice Requires="wps">
                  <w:drawing>
                    <wp:anchor distT="0" distB="0" distL="114300" distR="114300" simplePos="0" relativeHeight="251660288" behindDoc="0" locked="0" layoutInCell="1" allowOverlap="1">
                      <wp:simplePos x="0" y="0"/>
                      <wp:positionH relativeFrom="column">
                        <wp:posOffset>3690620</wp:posOffset>
                      </wp:positionH>
                      <wp:positionV relativeFrom="paragraph">
                        <wp:posOffset>247015</wp:posOffset>
                      </wp:positionV>
                      <wp:extent cx="257175" cy="304800"/>
                      <wp:effectExtent l="19050" t="0" r="28575" b="38100"/>
                      <wp:wrapNone/>
                      <wp:docPr id="4" name="Down Arrow 4"/>
                      <wp:cNvGraphicFramePr/>
                      <a:graphic xmlns:a="http://schemas.openxmlformats.org/drawingml/2006/main">
                        <a:graphicData uri="http://schemas.microsoft.com/office/word/2010/wordprocessingShape">
                          <wps:wsp>
                            <wps:cNvSpPr/>
                            <wps:spPr>
                              <a:xfrm>
                                <a:off x="0" y="0"/>
                                <a:ext cx="257175" cy="304800"/>
                              </a:xfrm>
                              <a:prstGeom prst="downArrow">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B7708B" id="Down Arrow 4" o:spid="_x0000_s1026" type="#_x0000_t67" style="position:absolute;margin-left:290.6pt;margin-top:19.45pt;width:20.25pt;height:2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" adj="12488" fillcolor="#ffc000" strokecolor="#1f4d78 [1604]" strokeweight="1pt"/>
                  </w:pict>
                </mc:Fallback>
              </mc:AlternateContent>
            </w:r>
            <w:r>
              <w:rPr>
                <w:noProof/>
              </w:rPr>
              <w:drawing>
                <wp:inline distT="0" distB="0" distL="0" distR="0">
                  <wp:extent cx="472440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0481C8.tmp"/>
                          <pic:cNvPicPr/>
                        </pic:nvPicPr>
                        <pic:blipFill>
                          <a:blip r:embed="rId16">
                            <a:extLst>
                              <a:ext uri="{28A0092B-C50C-407E-A947-70E740481C1C}">
                                <a14:useLocalDpi xmlns:a14="http://schemas.microsoft.com/office/drawing/2010/main" val="0"/>
                              </a:ext>
                            </a:extLst>
                          </a:blip>
                          <a:stretch>
                            <a:fillRect/>
                          </a:stretch>
                        </pic:blipFill>
                        <pic:spPr>
                          <a:xfrm>
                            <a:off x="0" y="0"/>
                            <a:ext cx="4732680" cy="1183170"/>
                          </a:xfrm>
                          <a:prstGeom prst="rect">
                            <a:avLst/>
                          </a:prstGeom>
                        </pic:spPr>
                      </pic:pic>
                    </a:graphicData>
                  </a:graphic>
                </wp:inline>
              </w:drawing>
            </w:r>
          </w:p>
          <w:p w:rsidR="006B350E" w:rsidRDefault="006B350E" w:rsidP="00995BBD"/>
        </w:tc>
        <w:tc>
          <w:tcPr>
            <w:tcW w:w="1255" w:type="dxa"/>
          </w:tcPr>
          <w:p w:rsidR="006B350E" w:rsidRDefault="006B350E" w:rsidP="00995BBD"/>
        </w:tc>
      </w:tr>
    </w:tbl>
    <w:p w:rsidR="008778D0" w:rsidRDefault="008778D0"/>
    <w:tbl>
      <w:tblPr>
        <w:tblStyle w:val="TableGrid"/>
        <w:tblW w:w="0" w:type="auto"/>
        <w:tblLook w:val="04A0" w:firstRow="1" w:lastRow="0" w:firstColumn="1" w:lastColumn="0" w:noHBand="0" w:noVBand="1"/>
      </w:tblPr>
      <w:tblGrid>
        <w:gridCol w:w="8095"/>
        <w:gridCol w:w="1255"/>
      </w:tblGrid>
      <w:tr w:rsidR="006B350E" w:rsidRPr="00242767" w:rsidTr="00995BBD">
        <w:tc>
          <w:tcPr>
            <w:tcW w:w="9350" w:type="dxa"/>
            <w:gridSpan w:val="2"/>
            <w:shd w:val="clear" w:color="auto" w:fill="D9E2F3" w:themeFill="accent5" w:themeFillTint="33"/>
          </w:tcPr>
          <w:p w:rsidR="006B350E" w:rsidRPr="00242767" w:rsidRDefault="006B350E" w:rsidP="00995BBD">
            <w:pPr>
              <w:rPr>
                <w:b/>
              </w:rPr>
            </w:pPr>
            <w:r>
              <w:rPr>
                <w:b/>
              </w:rPr>
              <w:t>Discussion</w:t>
            </w:r>
            <w:r w:rsidR="00B91C15">
              <w:rPr>
                <w:b/>
              </w:rPr>
              <w:t>s</w:t>
            </w:r>
            <w:r>
              <w:rPr>
                <w:b/>
              </w:rPr>
              <w:t xml:space="preserve"> within D2L</w:t>
            </w:r>
          </w:p>
        </w:tc>
      </w:tr>
      <w:tr w:rsidR="006B350E" w:rsidTr="00995BBD">
        <w:tc>
          <w:tcPr>
            <w:tcW w:w="8095" w:type="dxa"/>
          </w:tcPr>
          <w:p w:rsidR="006B350E" w:rsidRDefault="00B91C15" w:rsidP="00995BBD">
            <w:r>
              <w:t>-</w:t>
            </w:r>
            <w:r w:rsidR="006B350E">
              <w:t xml:space="preserve">Consider devising a “General Help” discussion within D2L and linking it to your syllabus module. Explain in the syllabus that this is a place for general questions and FAQ from the instructor (and specific questions can be emailed). </w:t>
            </w:r>
            <w:r w:rsidR="006B350E">
              <w:t xml:space="preserve">  </w:t>
            </w:r>
          </w:p>
        </w:tc>
        <w:tc>
          <w:tcPr>
            <w:tcW w:w="1255" w:type="dxa"/>
          </w:tcPr>
          <w:p w:rsidR="006B350E" w:rsidRDefault="006B350E" w:rsidP="00995BBD"/>
        </w:tc>
      </w:tr>
      <w:tr w:rsidR="006B350E" w:rsidTr="00995BBD">
        <w:tc>
          <w:tcPr>
            <w:tcW w:w="8095" w:type="dxa"/>
          </w:tcPr>
          <w:p w:rsidR="006B350E" w:rsidRDefault="00B91C15" w:rsidP="00995BBD">
            <w:r>
              <w:t>-</w:t>
            </w:r>
            <w:r w:rsidR="006B350E">
              <w:t xml:space="preserve">Make sure that for every forum (grey) there is also a topic (white). Students can see the information in a forum but they can only post in topics. </w:t>
            </w:r>
          </w:p>
          <w:p w:rsidR="006B350E" w:rsidRDefault="006B350E" w:rsidP="00995BBD">
            <w:r>
              <w:rPr>
                <w:noProof/>
              </w:rPr>
              <w:lastRenderedPageBreak/>
              <w:drawing>
                <wp:inline distT="0" distB="0" distL="0" distR="0">
                  <wp:extent cx="4629150" cy="1805171"/>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0410CF.tmp"/>
                          <pic:cNvPicPr/>
                        </pic:nvPicPr>
                        <pic:blipFill>
                          <a:blip r:embed="rId17">
                            <a:extLst>
                              <a:ext uri="{28A0092B-C50C-407E-A947-70E740481C1C}">
                                <a14:useLocalDpi xmlns:a14="http://schemas.microsoft.com/office/drawing/2010/main" val="0"/>
                              </a:ext>
                            </a:extLst>
                          </a:blip>
                          <a:stretch>
                            <a:fillRect/>
                          </a:stretch>
                        </pic:blipFill>
                        <pic:spPr>
                          <a:xfrm>
                            <a:off x="0" y="0"/>
                            <a:ext cx="4646231" cy="1811832"/>
                          </a:xfrm>
                          <a:prstGeom prst="rect">
                            <a:avLst/>
                          </a:prstGeom>
                        </pic:spPr>
                      </pic:pic>
                    </a:graphicData>
                  </a:graphic>
                </wp:inline>
              </w:drawing>
            </w:r>
            <w:r>
              <w:t xml:space="preserve"> </w:t>
            </w:r>
          </w:p>
        </w:tc>
        <w:tc>
          <w:tcPr>
            <w:tcW w:w="1255" w:type="dxa"/>
          </w:tcPr>
          <w:p w:rsidR="006B350E" w:rsidRDefault="006B350E" w:rsidP="00995BBD"/>
        </w:tc>
      </w:tr>
      <w:tr w:rsidR="006B350E" w:rsidTr="00B91C15">
        <w:tc>
          <w:tcPr>
            <w:tcW w:w="8095" w:type="dxa"/>
            <w:shd w:val="clear" w:color="auto" w:fill="FFF2CC" w:themeFill="accent4" w:themeFillTint="33"/>
          </w:tcPr>
          <w:p w:rsidR="006B350E" w:rsidRDefault="00B91C15" w:rsidP="00995BBD">
            <w:r>
              <w:t>-</w:t>
            </w:r>
            <w:hyperlink r:id="rId18" w:history="1">
              <w:r w:rsidR="006B350E" w:rsidRPr="00B91C15">
                <w:rPr>
                  <w:rStyle w:val="Hyperlink"/>
                </w:rPr>
                <w:t xml:space="preserve">You may consider </w:t>
              </w:r>
              <w:r w:rsidRPr="00B91C15">
                <w:rPr>
                  <w:rStyle w:val="Hyperlink"/>
                </w:rPr>
                <w:t>putting students into groups for discussions (if you have a large class).</w:t>
              </w:r>
            </w:hyperlink>
            <w:r>
              <w:t xml:space="preserve"> You may type the prompt in the forum (so that all can see it). You may choose to give students different prompts, however, and those will need to be posted in the individual topic areas. Note: You cannot connect grouped discussions to a single gradebook item. </w:t>
            </w:r>
          </w:p>
        </w:tc>
        <w:tc>
          <w:tcPr>
            <w:tcW w:w="1255" w:type="dxa"/>
            <w:shd w:val="clear" w:color="auto" w:fill="FFF2CC" w:themeFill="accent4" w:themeFillTint="33"/>
          </w:tcPr>
          <w:p w:rsidR="006B350E" w:rsidRDefault="006B350E" w:rsidP="00995BBD"/>
        </w:tc>
      </w:tr>
      <w:tr w:rsidR="00B91C15" w:rsidTr="00B91C15">
        <w:tc>
          <w:tcPr>
            <w:tcW w:w="9350" w:type="dxa"/>
            <w:gridSpan w:val="2"/>
            <w:shd w:val="clear" w:color="auto" w:fill="DEEAF6" w:themeFill="accent1" w:themeFillTint="33"/>
          </w:tcPr>
          <w:p w:rsidR="00B91C15" w:rsidRPr="00B91C15" w:rsidRDefault="00B91C15" w:rsidP="00995BBD">
            <w:pPr>
              <w:rPr>
                <w:b/>
              </w:rPr>
            </w:pPr>
            <w:r w:rsidRPr="00B91C15">
              <w:rPr>
                <w:b/>
              </w:rPr>
              <w:t xml:space="preserve">Notes about Discussions: </w:t>
            </w:r>
          </w:p>
          <w:p w:rsidR="00B91C15" w:rsidRDefault="00B91C15" w:rsidP="00B91C15">
            <w:pPr>
              <w:pStyle w:val="ListParagraph"/>
              <w:numPr>
                <w:ilvl w:val="0"/>
                <w:numId w:val="2"/>
              </w:numPr>
            </w:pPr>
            <w:r>
              <w:t>Students cannot edit a discussion after they post it. It is advised that they type it in Word and copy/paste it in.</w:t>
            </w:r>
          </w:p>
          <w:p w:rsidR="00B91C15" w:rsidRDefault="00B91C15" w:rsidP="00B91C15">
            <w:pPr>
              <w:pStyle w:val="ListParagraph"/>
              <w:numPr>
                <w:ilvl w:val="0"/>
                <w:numId w:val="2"/>
              </w:numPr>
            </w:pPr>
            <w:r>
              <w:t xml:space="preserve">The instructor will not be able to create discussion groups until the students have been loaded into the class (usually 2 days before the class begins. </w:t>
            </w:r>
          </w:p>
        </w:tc>
      </w:tr>
    </w:tbl>
    <w:p w:rsidR="006B350E" w:rsidRDefault="006B350E"/>
    <w:tbl>
      <w:tblPr>
        <w:tblStyle w:val="TableGrid"/>
        <w:tblW w:w="0" w:type="auto"/>
        <w:tblLook w:val="04A0" w:firstRow="1" w:lastRow="0" w:firstColumn="1" w:lastColumn="0" w:noHBand="0" w:noVBand="1"/>
      </w:tblPr>
      <w:tblGrid>
        <w:gridCol w:w="8095"/>
        <w:gridCol w:w="1255"/>
      </w:tblGrid>
      <w:tr w:rsidR="00B91C15" w:rsidRPr="00242767" w:rsidTr="00995BBD">
        <w:tc>
          <w:tcPr>
            <w:tcW w:w="9350" w:type="dxa"/>
            <w:gridSpan w:val="2"/>
            <w:shd w:val="clear" w:color="auto" w:fill="D9E2F3" w:themeFill="accent5" w:themeFillTint="33"/>
          </w:tcPr>
          <w:p w:rsidR="00B91C15" w:rsidRPr="00242767" w:rsidRDefault="00B91C15" w:rsidP="00995BBD">
            <w:pPr>
              <w:rPr>
                <w:b/>
              </w:rPr>
            </w:pPr>
            <w:r>
              <w:rPr>
                <w:b/>
              </w:rPr>
              <w:t>Quizzes</w:t>
            </w:r>
            <w:r>
              <w:rPr>
                <w:b/>
              </w:rPr>
              <w:t xml:space="preserve"> within D2L</w:t>
            </w:r>
          </w:p>
        </w:tc>
      </w:tr>
      <w:tr w:rsidR="00B91C15" w:rsidTr="00995BBD">
        <w:tc>
          <w:tcPr>
            <w:tcW w:w="8095" w:type="dxa"/>
          </w:tcPr>
          <w:p w:rsidR="00B91C15" w:rsidRDefault="00B91C15" w:rsidP="00995BBD">
            <w:r>
              <w:t xml:space="preserve">-If you are building a test from scratch, consider using </w:t>
            </w:r>
            <w:proofErr w:type="spellStart"/>
            <w:r>
              <w:t>Respondus</w:t>
            </w:r>
            <w:proofErr w:type="spellEnd"/>
            <w:r>
              <w:t xml:space="preserve"> to build the quiz from a Word document and import in into D2L. </w:t>
            </w:r>
          </w:p>
        </w:tc>
        <w:tc>
          <w:tcPr>
            <w:tcW w:w="1255" w:type="dxa"/>
          </w:tcPr>
          <w:p w:rsidR="00B91C15" w:rsidRDefault="00B91C15" w:rsidP="00995BBD"/>
        </w:tc>
      </w:tr>
      <w:tr w:rsidR="00B91C15" w:rsidTr="00995BBD">
        <w:tc>
          <w:tcPr>
            <w:tcW w:w="8095" w:type="dxa"/>
          </w:tcPr>
          <w:p w:rsidR="00B91C15" w:rsidRDefault="00972D5D" w:rsidP="00995BBD">
            <w:hyperlink r:id="rId19" w:history="1">
              <w:r w:rsidR="00B91C15" w:rsidRPr="00972D5D">
                <w:rPr>
                  <w:rStyle w:val="Hyperlink"/>
                </w:rPr>
                <w:t xml:space="preserve">-If you need to print a quiz from D2L, you can pull it out via </w:t>
              </w:r>
              <w:proofErr w:type="spellStart"/>
              <w:r w:rsidR="00B91C15" w:rsidRPr="00972D5D">
                <w:rPr>
                  <w:rStyle w:val="Hyperlink"/>
                </w:rPr>
                <w:t>Respondus</w:t>
              </w:r>
              <w:proofErr w:type="spellEnd"/>
              <w:r w:rsidR="00B91C15" w:rsidRPr="00972D5D">
                <w:rPr>
                  <w:rStyle w:val="Hyperlink"/>
                </w:rPr>
                <w:t xml:space="preserve"> as well.</w:t>
              </w:r>
            </w:hyperlink>
            <w:r w:rsidR="00B91C15">
              <w:t xml:space="preserve"> </w:t>
            </w:r>
          </w:p>
        </w:tc>
        <w:tc>
          <w:tcPr>
            <w:tcW w:w="1255" w:type="dxa"/>
          </w:tcPr>
          <w:p w:rsidR="00B91C15" w:rsidRDefault="00B91C15" w:rsidP="00995BBD"/>
        </w:tc>
      </w:tr>
      <w:tr w:rsidR="00B91C15" w:rsidTr="00B91C15">
        <w:tc>
          <w:tcPr>
            <w:tcW w:w="8095" w:type="dxa"/>
            <w:shd w:val="clear" w:color="auto" w:fill="FFFFFF" w:themeFill="background1"/>
          </w:tcPr>
          <w:p w:rsidR="00B91C15" w:rsidRDefault="00B91C15" w:rsidP="00B91C15">
            <w:r>
              <w:t>-</w:t>
            </w:r>
            <w:r>
              <w:t>Consider using Random Sections in the quiz (so students are given different questions in a different order.) Also consider using a test bank of questions (more questions that what they will be provided on the test).</w:t>
            </w:r>
            <w:r>
              <w:t xml:space="preserve"> </w:t>
            </w:r>
          </w:p>
        </w:tc>
        <w:tc>
          <w:tcPr>
            <w:tcW w:w="1255" w:type="dxa"/>
            <w:shd w:val="clear" w:color="auto" w:fill="FFFFFF" w:themeFill="background1"/>
          </w:tcPr>
          <w:p w:rsidR="00B91C15" w:rsidRDefault="00B91C15" w:rsidP="00995BBD"/>
        </w:tc>
      </w:tr>
      <w:tr w:rsidR="00B91C15" w:rsidTr="00B91C15">
        <w:tc>
          <w:tcPr>
            <w:tcW w:w="8095" w:type="dxa"/>
            <w:shd w:val="clear" w:color="auto" w:fill="FFFFFF" w:themeFill="background1"/>
          </w:tcPr>
          <w:p w:rsidR="00B91C15" w:rsidRDefault="00B91C15" w:rsidP="00B91C15">
            <w:r>
              <w:t xml:space="preserve">-Make sure the “auto grade” and “allow attempt to be set as graded” areas are checked and the quiz is associated to a grade item (under the “assessment” tab). </w:t>
            </w:r>
          </w:p>
          <w:p w:rsidR="00B91C15" w:rsidRDefault="00B91C15" w:rsidP="00B91C15">
            <w:r>
              <w:rPr>
                <w:noProof/>
              </w:rPr>
              <w:drawing>
                <wp:inline distT="0" distB="0" distL="0" distR="0">
                  <wp:extent cx="3028950" cy="143227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041489.tmp"/>
                          <pic:cNvPicPr/>
                        </pic:nvPicPr>
                        <pic:blipFill>
                          <a:blip r:embed="rId20">
                            <a:extLst>
                              <a:ext uri="{28A0092B-C50C-407E-A947-70E740481C1C}">
                                <a14:useLocalDpi xmlns:a14="http://schemas.microsoft.com/office/drawing/2010/main" val="0"/>
                              </a:ext>
                            </a:extLst>
                          </a:blip>
                          <a:stretch>
                            <a:fillRect/>
                          </a:stretch>
                        </pic:blipFill>
                        <pic:spPr>
                          <a:xfrm>
                            <a:off x="0" y="0"/>
                            <a:ext cx="3053528" cy="1443901"/>
                          </a:xfrm>
                          <a:prstGeom prst="rect">
                            <a:avLst/>
                          </a:prstGeom>
                        </pic:spPr>
                      </pic:pic>
                    </a:graphicData>
                  </a:graphic>
                </wp:inline>
              </w:drawing>
            </w:r>
          </w:p>
        </w:tc>
        <w:tc>
          <w:tcPr>
            <w:tcW w:w="1255" w:type="dxa"/>
            <w:shd w:val="clear" w:color="auto" w:fill="FFFFFF" w:themeFill="background1"/>
          </w:tcPr>
          <w:p w:rsidR="00B91C15" w:rsidRDefault="00B91C15" w:rsidP="00995BBD"/>
        </w:tc>
      </w:tr>
      <w:tr w:rsidR="00B91C15" w:rsidTr="00B91C15">
        <w:tc>
          <w:tcPr>
            <w:tcW w:w="8095" w:type="dxa"/>
            <w:shd w:val="clear" w:color="auto" w:fill="FFFFFF" w:themeFill="background1"/>
          </w:tcPr>
          <w:p w:rsidR="00B91C15" w:rsidRDefault="00B91C15" w:rsidP="00B91C15">
            <w:r>
              <w:t xml:space="preserve">-Change the submission view dates (if you provided an additional view for students to see the questions they missed after the exam). The old dates for the additional view will copy over. </w:t>
            </w:r>
          </w:p>
          <w:p w:rsidR="00B91C15" w:rsidRDefault="00B91C15" w:rsidP="00B91C15">
            <w:r>
              <w:rPr>
                <w:noProof/>
              </w:rPr>
              <w:lastRenderedPageBreak/>
              <w:drawing>
                <wp:inline distT="0" distB="0" distL="0" distR="0">
                  <wp:extent cx="2400300" cy="2336226"/>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04205D.tmp"/>
                          <pic:cNvPicPr/>
                        </pic:nvPicPr>
                        <pic:blipFill>
                          <a:blip r:embed="rId21">
                            <a:extLst>
                              <a:ext uri="{28A0092B-C50C-407E-A947-70E740481C1C}">
                                <a14:useLocalDpi xmlns:a14="http://schemas.microsoft.com/office/drawing/2010/main" val="0"/>
                              </a:ext>
                            </a:extLst>
                          </a:blip>
                          <a:stretch>
                            <a:fillRect/>
                          </a:stretch>
                        </pic:blipFill>
                        <pic:spPr>
                          <a:xfrm>
                            <a:off x="0" y="0"/>
                            <a:ext cx="2410364" cy="2346021"/>
                          </a:xfrm>
                          <a:prstGeom prst="rect">
                            <a:avLst/>
                          </a:prstGeom>
                        </pic:spPr>
                      </pic:pic>
                    </a:graphicData>
                  </a:graphic>
                </wp:inline>
              </w:drawing>
            </w:r>
          </w:p>
        </w:tc>
        <w:tc>
          <w:tcPr>
            <w:tcW w:w="1255" w:type="dxa"/>
            <w:shd w:val="clear" w:color="auto" w:fill="FFFFFF" w:themeFill="background1"/>
          </w:tcPr>
          <w:p w:rsidR="00B91C15" w:rsidRDefault="00B91C15" w:rsidP="00995BBD"/>
        </w:tc>
      </w:tr>
    </w:tbl>
    <w:p w:rsidR="00B91C15" w:rsidRDefault="00B91C15"/>
    <w:tbl>
      <w:tblPr>
        <w:tblStyle w:val="TableGrid"/>
        <w:tblW w:w="0" w:type="auto"/>
        <w:tblLook w:val="04A0" w:firstRow="1" w:lastRow="0" w:firstColumn="1" w:lastColumn="0" w:noHBand="0" w:noVBand="1"/>
      </w:tblPr>
      <w:tblGrid>
        <w:gridCol w:w="8095"/>
        <w:gridCol w:w="1255"/>
      </w:tblGrid>
      <w:tr w:rsidR="00972D5D" w:rsidRPr="00242767" w:rsidTr="00995BBD">
        <w:tc>
          <w:tcPr>
            <w:tcW w:w="9350" w:type="dxa"/>
            <w:gridSpan w:val="2"/>
            <w:shd w:val="clear" w:color="auto" w:fill="D9E2F3" w:themeFill="accent5" w:themeFillTint="33"/>
          </w:tcPr>
          <w:p w:rsidR="00972D5D" w:rsidRPr="00242767" w:rsidRDefault="00972D5D" w:rsidP="00995BBD">
            <w:pPr>
              <w:rPr>
                <w:b/>
              </w:rPr>
            </w:pPr>
            <w:proofErr w:type="spellStart"/>
            <w:r>
              <w:rPr>
                <w:b/>
              </w:rPr>
              <w:t>Dropboxes</w:t>
            </w:r>
            <w:proofErr w:type="spellEnd"/>
            <w:r>
              <w:rPr>
                <w:b/>
              </w:rPr>
              <w:t xml:space="preserve"> within D2L</w:t>
            </w:r>
          </w:p>
        </w:tc>
      </w:tr>
      <w:tr w:rsidR="00972D5D" w:rsidTr="00995BBD">
        <w:tc>
          <w:tcPr>
            <w:tcW w:w="8095" w:type="dxa"/>
          </w:tcPr>
          <w:p w:rsidR="00972D5D" w:rsidRDefault="00972D5D" w:rsidP="00972D5D">
            <w:r>
              <w:t xml:space="preserve">-If you want the </w:t>
            </w:r>
            <w:proofErr w:type="spellStart"/>
            <w:r>
              <w:t>dropbox</w:t>
            </w:r>
            <w:proofErr w:type="spellEnd"/>
            <w:r>
              <w:t xml:space="preserve"> associated with Turnitin, make sure to enable “Originality check” and “allows submitters to see originality reports” (at the bottom). </w:t>
            </w:r>
          </w:p>
          <w:p w:rsidR="00972D5D" w:rsidRDefault="00972D5D" w:rsidP="00972D5D">
            <w:r>
              <w:rPr>
                <w:noProof/>
              </w:rPr>
              <w:drawing>
                <wp:inline distT="0" distB="0" distL="0" distR="0">
                  <wp:extent cx="2047875" cy="1389630"/>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043D8E.tmp"/>
                          <pic:cNvPicPr/>
                        </pic:nvPicPr>
                        <pic:blipFill>
                          <a:blip r:embed="rId22">
                            <a:extLst>
                              <a:ext uri="{28A0092B-C50C-407E-A947-70E740481C1C}">
                                <a14:useLocalDpi xmlns:a14="http://schemas.microsoft.com/office/drawing/2010/main" val="0"/>
                              </a:ext>
                            </a:extLst>
                          </a:blip>
                          <a:stretch>
                            <a:fillRect/>
                          </a:stretch>
                        </pic:blipFill>
                        <pic:spPr>
                          <a:xfrm>
                            <a:off x="0" y="0"/>
                            <a:ext cx="2054716" cy="1394272"/>
                          </a:xfrm>
                          <a:prstGeom prst="rect">
                            <a:avLst/>
                          </a:prstGeom>
                        </pic:spPr>
                      </pic:pic>
                    </a:graphicData>
                  </a:graphic>
                </wp:inline>
              </w:drawing>
            </w:r>
            <w:r>
              <w:t xml:space="preserve"> </w:t>
            </w:r>
          </w:p>
        </w:tc>
        <w:tc>
          <w:tcPr>
            <w:tcW w:w="1255" w:type="dxa"/>
          </w:tcPr>
          <w:p w:rsidR="00972D5D" w:rsidRDefault="00972D5D" w:rsidP="00995BBD"/>
        </w:tc>
      </w:tr>
      <w:tr w:rsidR="00972D5D" w:rsidTr="00995BBD">
        <w:tc>
          <w:tcPr>
            <w:tcW w:w="8095" w:type="dxa"/>
          </w:tcPr>
          <w:p w:rsidR="00972D5D" w:rsidRDefault="00972D5D" w:rsidP="00995BBD">
            <w:hyperlink r:id="rId23" w:history="1">
              <w:r w:rsidRPr="00972D5D">
                <w:rPr>
                  <w:rStyle w:val="Hyperlink"/>
                </w:rPr>
                <w:t xml:space="preserve">-You may choose to associate the </w:t>
              </w:r>
              <w:proofErr w:type="spellStart"/>
              <w:r w:rsidRPr="00972D5D">
                <w:rPr>
                  <w:rStyle w:val="Hyperlink"/>
                </w:rPr>
                <w:t>dropboxes</w:t>
              </w:r>
              <w:proofErr w:type="spellEnd"/>
              <w:r w:rsidRPr="00972D5D">
                <w:rPr>
                  <w:rStyle w:val="Hyperlink"/>
                </w:rPr>
                <w:t xml:space="preserve"> (or discussions) with a D2L rubric.</w:t>
              </w:r>
            </w:hyperlink>
            <w:r>
              <w:t xml:space="preserve"> </w:t>
            </w:r>
          </w:p>
        </w:tc>
        <w:tc>
          <w:tcPr>
            <w:tcW w:w="1255" w:type="dxa"/>
          </w:tcPr>
          <w:p w:rsidR="00972D5D" w:rsidRDefault="00972D5D" w:rsidP="00995BBD"/>
        </w:tc>
      </w:tr>
    </w:tbl>
    <w:p w:rsidR="00972D5D" w:rsidRDefault="00972D5D"/>
    <w:sectPr w:rsidR="00972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435EC"/>
    <w:multiLevelType w:val="hybridMultilevel"/>
    <w:tmpl w:val="2D7C6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CA67F5"/>
    <w:multiLevelType w:val="hybridMultilevel"/>
    <w:tmpl w:val="D0DC3B1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689F7C42"/>
    <w:multiLevelType w:val="hybridMultilevel"/>
    <w:tmpl w:val="2D7C6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463DEC"/>
    <w:multiLevelType w:val="hybridMultilevel"/>
    <w:tmpl w:val="2D7C6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767"/>
    <w:rsid w:val="001F57F0"/>
    <w:rsid w:val="00242767"/>
    <w:rsid w:val="006B350E"/>
    <w:rsid w:val="008778D0"/>
    <w:rsid w:val="00972D5D"/>
    <w:rsid w:val="00B91C15"/>
    <w:rsid w:val="00F03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931E143-529A-4C75-A34E-8287C920D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2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2767"/>
    <w:rPr>
      <w:color w:val="0563C1" w:themeColor="hyperlink"/>
      <w:u w:val="single"/>
    </w:rPr>
  </w:style>
  <w:style w:type="paragraph" w:styleId="ListParagraph">
    <w:name w:val="List Paragraph"/>
    <w:basedOn w:val="Normal"/>
    <w:uiPriority w:val="34"/>
    <w:qFormat/>
    <w:rsid w:val="00242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gordonstate.edu/autumns/videos/copycomponents/copycomponents.html" TargetMode="External"/><Relationship Id="rId13" Type="http://schemas.openxmlformats.org/officeDocument/2006/relationships/image" Target="media/image2.tmp"/><Relationship Id="rId18" Type="http://schemas.openxmlformats.org/officeDocument/2006/relationships/hyperlink" Target="http://faculty.gordonstate.edu/autumns/videos/D2Lgroups/D2Lgroups.html" TargetMode="External"/><Relationship Id="rId3" Type="http://schemas.openxmlformats.org/officeDocument/2006/relationships/settings" Target="settings.xml"/><Relationship Id="rId21" Type="http://schemas.openxmlformats.org/officeDocument/2006/relationships/image" Target="media/image6.tmp"/><Relationship Id="rId7" Type="http://schemas.openxmlformats.org/officeDocument/2006/relationships/hyperlink" Target="http://www.gordonstate.edu/pdf/Email_Classlist_from_Bannerweb.pdf" TargetMode="External"/><Relationship Id="rId12" Type="http://schemas.openxmlformats.org/officeDocument/2006/relationships/hyperlink" Target="http://www.gordonstate.edu/pdf/Bulk_Editing_Dates_D2L.pdf" TargetMode="External"/><Relationship Id="rId17" Type="http://schemas.openxmlformats.org/officeDocument/2006/relationships/image" Target="media/image4.tmp"/><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tmp"/><Relationship Id="rId20" Type="http://schemas.openxmlformats.org/officeDocument/2006/relationships/image" Target="media/image5.tmp"/><Relationship Id="rId1" Type="http://schemas.openxmlformats.org/officeDocument/2006/relationships/numbering" Target="numbering.xml"/><Relationship Id="rId6" Type="http://schemas.openxmlformats.org/officeDocument/2006/relationships/hyperlink" Target="http://www.gordonstate.edu/schedule/class-schedules-and-registration-information" TargetMode="External"/><Relationship Id="rId11" Type="http://schemas.openxmlformats.org/officeDocument/2006/relationships/image" Target="media/image1.tmp"/><Relationship Id="rId24" Type="http://schemas.openxmlformats.org/officeDocument/2006/relationships/fontTable" Target="fontTable.xml"/><Relationship Id="rId5" Type="http://schemas.openxmlformats.org/officeDocument/2006/relationships/hyperlink" Target="http://faculty.gordonstate.edu/autumns/videos/r25/r25.html" TargetMode="External"/><Relationship Id="rId15" Type="http://schemas.openxmlformats.org/officeDocument/2006/relationships/hyperlink" Target="http://www.gordonstate.edu/pdf/D2L-GradebookSettings.pdf" TargetMode="External"/><Relationship Id="rId23" Type="http://schemas.openxmlformats.org/officeDocument/2006/relationships/hyperlink" Target="http://faculty.gordonstate.edu/autumns/videos/rubrics/rubrics.html" TargetMode="External"/><Relationship Id="rId10" Type="http://schemas.openxmlformats.org/officeDocument/2006/relationships/hyperlink" Target="http://www.gordonstate.edu/pdf/D2L-Deleting_News_Items.pdf" TargetMode="External"/><Relationship Id="rId19" Type="http://schemas.openxmlformats.org/officeDocument/2006/relationships/hyperlink" Target="http://faculty.gordonstate.edu/autumns/videos/d2lexportingquiztorespondus/d2lexportingquiztorespondus.html" TargetMode="External"/><Relationship Id="rId4" Type="http://schemas.openxmlformats.org/officeDocument/2006/relationships/webSettings" Target="webSettings.xml"/><Relationship Id="rId9" Type="http://schemas.openxmlformats.org/officeDocument/2006/relationships/hyperlink" Target="http://faculty.gordonstate.edu/autumns/videos/testbanks/testbanks.html" TargetMode="External"/><Relationship Id="rId14" Type="http://schemas.openxmlformats.org/officeDocument/2006/relationships/hyperlink" Target="http://faculty.gordonstate.edu/autumns/videos/d2lreadinglist/d2lreadinglist.html" TargetMode="External"/><Relationship Id="rId22" Type="http://schemas.openxmlformats.org/officeDocument/2006/relationships/image" Target="media/image7.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Gordon State College</Company>
  <LinksUpToDate>false</LinksUpToDate>
  <CharactersWithSpaces>6744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Schaffer, Autumn</dc:creator>
  <cp:keywords/>
  <dc:description/>
  <cp:lastModifiedBy>Schaffer, Autumn</cp:lastModifiedBy>
  <cp:revision>1</cp:revision>
  <dcterms:created xsi:type="dcterms:W3CDTF">2016-04-04T20:41:00Z</dcterms:created>
  <dcterms:modified xsi:type="dcterms:W3CDTF">2016-04-04T22:00:00Z</dcterms:modified>
</cp:coreProperties>
</file>